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CV Xavier Oliveras González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Datos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Nombre completo: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Xavier Oliveras González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Adscripción Institucional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El Colegio de la Frontera Norte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Departamento de Estudios Urbanos y Medio Ambiente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sede Matamoros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México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Posición dentro de la institución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Investigador titular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xoliveras@colef.mx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Número de teléfono y extensión institucional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(+52) 868 813 4559 Ext: 204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Nombre de Institución a la que pertenece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El Colegio de la Frontera Norte (El Colef)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Líneas de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geografía política; geografía regional; estudios fronterizos; materialidad; agencia no-humana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Formación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Doctorado en Geografía, Universitat Autònoma de Barcelona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Participación en proyectos de investigación (incluyendo colaboraciones con otras instituciones académicas)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Las fronteras del siglo XXI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El Colef / CIAD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Cooperación territorial en España y la Unión Europea: selección de experiencias de excelencia e innovación para el período 2014-20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Universitat Autònoma de Barcelona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¿Fuga o suma de cerebros? Migración calificada del sur de Europa a las nuevas ciudades emergentes mexicanas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Universidad Autónoma Metropolitana-Iztapalapa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Principales publicaciones: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últimos 5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Capítulos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(2020) “Disputas en el límite fronterizo: celebración y resistencia de la frontera México-Estados Unidos”, en Maristela Ferrari et al.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Fronteira, Território e Ambiente: Diálogos entre América Latina e Europa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Cascavel: Editora da Universidade Estadual do Oeste do Paraná, pp.303-334.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(2020) “Asimetría”, en Alejandro Benedetti (dir.):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Palabras clave para el estudio de las fronteras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Buenos Aires: Teseo, pp.41-49.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(2020) “Territorio”, en Alejandro Benedetti (dir.):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Palabras clave para el estudio de las fronteras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Buenos Aires: Teseo, 619-628.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X., Cueva, T., Medina, I. (2020) ““On the banks of the Rio Bravo…”: Social Construction and Perception of Flood Risk in Irregular Settlements”, en Gabriela Vera y Juan Manuel Macías (eds.):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Disasters and Neoliberalism: Different Expressions of Social Vulnerability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Cham, Suiza: Springer, pp.97-118.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https://doi.org/10.1007/978-3-030-54902-2_5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(2020) “La fronterización y desfronterización del río Bravo / Grande en y con los puentes internacionales”, en Alberto Hernández (coord.):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Puentes que unen y muros que separan. Fronterización, securitización y procesos de cambio en las fronteras de México y Brasil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Tijuana: El Colegio de la Frontera Norte; Campo Grande, Brasil: Universidade Federal de Mato Grosso do Sul (UFMS), pp123-151.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X., Mendoza, C., Ortiz, A. (2019) “Migración cualificada del sur de Europa en México: diversidad de experiencias migratorias, laborales y espaciales”, en Ana Melisa Pardo y Claudio Alberto Dávila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Más allá de la emigración: impacto de la población extranjera residente en México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Cd. de México: Universidad Autónoma Nacional de México, pp.231-256.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http://dx.doi.org/10.14350/gsxxi.li.24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(2019) “¿Fronteridades en contradicción?: la desfronterización y la refronterización en Anzaldúas (Tamaulipas-Texas)”, en Marcia Ruíz y Rosario Contreras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Estudios de frontera. Aproximaciones socioculturales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Victoria / Cd. de México: Universidad Autónoma de Tamaulipas / Colofón, pp.11-28.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(2018) “Las “nuevas ciudades binacionales” en la frontera México-Estados Unidos. Evidencias de Villa Florida-Sharyland”, en César Fuentes y Sergio Peña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Desarrollo sostenible en la frontera norte de México: Reflexiones para una agenda de acción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Tijuana: El Colegio de la Frontera Norte, pp.167-199.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(2018) “Representaciones espaciales ante la refronterización. El caso de la frontera México-Texas”, en H.A. Padilla, A. Furlong, R. Netzahualcoyotzi, y J.M. Sandoval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Las fronteras: espacios estratégicos para la globalización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Ciudad Juárez / Puebla: Universidad Autónoma de Ciudad Juárez / Benemérita Universidad Autónoma de Puebla, pp.189-212.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(2018) “La acción municipal para los retos urbano-regionales en Matamoros (2002-2017)”, en Óscar Hernández (coord.):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Matamoros: actualidad y retos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Matamoros: El Colegio de la Frontera Norte / Ayuntamiento de Matamoros, pp.14-41.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Ramos, J.M., Oliveras, X. (2018) “Gobernanza estratégica transfronteriza, la Agenda 2030 y las relaciones México-Estados Unidos: impactos en los gobiernos locales”, en José Alberto Castellanos, Christian M. Sánchez y Alejandro Aguilar (coord.):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Tendencias del gobierno y de la administración pública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Guadalajara: Universidad de Guadalajara, pp.175-192.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Jurado, M.A., Oliveras, X., Chávez, R. (2017) “La perspectiva de género en la política de obras públicas. El caso Nuevo León”, en Silvia López (coord.):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Políticas públicas y género en Nuevo León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Tijuana: El Colegio de la Frontera Norte, pp.197-228.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X., Mendoza, C. (2017) “Extranjeros en el “Tercer país”: representaciones espaciales de los migrantes de Europa del sur en Monterrey”, en Martha Barraza de Anda, Javier Martínez Romero y Julieta Flores Amador (coords.):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Flujos transfronterizos, Desarrollo regional y Movilidad humana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Ciudad Juárez, México: Universidad Autónoma de Ciudad Juárez, pp.157-174.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Colomb, C., Morata, F., Durà, A., Oliveras, X. (2017) “Multi-level geographies of trans-boundary cooperation in Catalonia: territorial governance, spatial planning and ‘cross-border spaces of regionalist engagement’”, en Iain Deas y Stephen Hincks (eds.):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Territorial Policy and Governance. Alternative Paths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Londres / Nueva York: Routledge, pp.92-124.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Artículos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Mendoza, C., Ortiz, A., Oliveras, X. (2020) “Labour incorporation of young Southern European graduates in Mexico: the impact of the economic crisis”,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Journal of Youth Studies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23(8): 959-973.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https://doi.org/10.1080/13676261.2019.1645948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(2019) “La resistencia al muro de Estados Unidos: comparación de las espacialidades de ambos lados de la frontera”,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Ulúa. Revista de historia, sociedad y cultura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17(34): 87-117.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https://doi.org/10.25009/urhsc.2019.34.2662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X., Ortiz, A., Mendoza, C. (2019) “Llar, barri, ciutat i co-espacialitat: sentit de lloc de migrants espanyols i italians a Mèxic”,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Treballs de la Societat Catalana de Geografia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87: 123-146.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https://doi.org/10.2436/20.3002.01.175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Ortiz, A., Oliveras, X., Mendoza, C. (2019) “Jóvenes profesionales del sur de Europa a México. Razones para migrar, inserción laboral y expectativas de futuro”,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Documents d’Anàlisi Geogràfica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65(1): 93-114.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https://doi.org/10.5565/rev/dag.503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Mendoza, C., Oliveras, X., Ortiz, A. (2018) “Nuevas perspectivas de análisis para entender la migración calificada del Sur de Europa hacia México”,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Arxius. Arxius de Ciències Socials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39: 55-66.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http://roderic.uv.es/bitstream/handle/10550/69973/6874486.pdf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(2018) “Las distancias sociopsicológicas de la migración española e italiana calificada en México”,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Revista Iztapalapa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84:105-128.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http://revistaiztapalapa.izt.uam.mx/index.php/izt/article/view/570/888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(2017) “La resistencia a la refronterización de Estados Unidos: representaciones espaciales en la frontera México-Texas”,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Aldea Mundo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43: 77-88.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http://www.saber.ula.ve/handle/123456789/43835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(2017) “Espacialidades en conflicto. Refronterización y resistencia en el embalse de Anzaldúas (frontera Tamaulipas-Texas)”,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Norteamérica. Revista Académica del CISAN-UNAM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12(1): 169-196.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https://doi.org/10.20999/nam.2017.a006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Otras publicaciones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(2021) “El COVID-19 como oportunidad para incrementar la fronterización: Los solicitantes de asilo en espera en México”,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Policy Paper de Red de Políticas Fronterizas / Border Policy Network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núm.5/2021, pp.1-4.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https://www.colef.mx/policypaper/el-covid-19-como-oportunidad-para-incrementar-la-fronterizacion-los-solicitantes-de-asilo-en-espera-en-mexico/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Lara-Valencia, F., Agulló, J., García-Pérez, H., Oliveras, X., Trillo, J.M. (2020) “COVID-19 and cross-border mobility”. Tempe, AZ: Transborder Policy Lab, Arizona State University.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(2020) “¿La venganza de la Naturaleza? Los animales durante el confinamiento por el Covid-19”,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Documentos de coyuntura. Estudios de El Colef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https://www.colef.mx/estudiosdeelcolef/la-venganza-de-la-naturaleza-los-animales-durante-el-confinamiento-por-el-covid-19/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Oliveras, X. (2019) “¿Puede la seguridad llevar a México y Estados Unidos a compartir la infraestructura fronteriza?”,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Policy Paper de Red de Políticas Fronterizas / Border Policy Network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, núm.1/2019, pp.1-4.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https://www.colef.mx/policypaper/68881/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Cursos/clases universitarios impartidos: últimos 5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“Introducción a los estudios de la frontera México-Estados Unidos”,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Especialidad en Estudios de la Frontera México-Estados Unidos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El Colef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“Acción pública urbana”,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 en Acción Pública y Desarrollo Social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El Colef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“Desarrollo regional y urbano de México”,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 en Desarrollo Regional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El Colef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“Métodos y técnicas de análisis territorial cualitativo”,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 en Desarrollo Regional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El Colef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“Teorías sobre el espacio y la frontera”,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Maestría en Estudios Culturales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El Colef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rFonts w:ascii="EB Garamond" w:cs="EB Garamond" w:eastAsia="EB Garamond" w:hAnsi="EB Garamond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i w:val="1"/>
        <w:color w:val="2222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 w:val="1"/>
    <w:rsid w:val="008E46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E4651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A2BC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lef.mx/policypaper/68881/" TargetMode="External"/><Relationship Id="rId11" Type="http://schemas.openxmlformats.org/officeDocument/2006/relationships/hyperlink" Target="https://doi.org/10.25009/urhsc.2019.34.2662" TargetMode="External"/><Relationship Id="rId10" Type="http://schemas.openxmlformats.org/officeDocument/2006/relationships/hyperlink" Target="https://doi.org/10.1080/13676261.2019.1645948" TargetMode="External"/><Relationship Id="rId13" Type="http://schemas.openxmlformats.org/officeDocument/2006/relationships/hyperlink" Target="https://doi.org/10.5565/rev/dag.503" TargetMode="External"/><Relationship Id="rId12" Type="http://schemas.openxmlformats.org/officeDocument/2006/relationships/hyperlink" Target="https://doi.org/10.2436/20.3002.01.17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x.doi.org/10.14350/gsxxi.li.24" TargetMode="External"/><Relationship Id="rId15" Type="http://schemas.openxmlformats.org/officeDocument/2006/relationships/hyperlink" Target="http://revistaiztapalapa.izt.uam.mx/index.php/izt/article/view/570/888" TargetMode="External"/><Relationship Id="rId14" Type="http://schemas.openxmlformats.org/officeDocument/2006/relationships/hyperlink" Target="http://roderic.uv.es/bitstream/handle/10550/69973/6874486.pdf" TargetMode="External"/><Relationship Id="rId17" Type="http://schemas.openxmlformats.org/officeDocument/2006/relationships/hyperlink" Target="https://doi.org/10.20999/nam.2017.a006" TargetMode="External"/><Relationship Id="rId16" Type="http://schemas.openxmlformats.org/officeDocument/2006/relationships/hyperlink" Target="http://www.saber.ula.ve/handle/123456789/43835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olef.mx/estudiosdeelcolef/la-venganza-de-la-naturaleza-los-animales-durante-el-confinamiento-por-el-covid-19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olef.mx/policypaper/el-covid-19-como-oportunidad-para-incrementar-la-fronterizacion-los-solicitantes-de-asilo-en-espera-en-mexico/" TargetMode="External"/><Relationship Id="rId7" Type="http://schemas.openxmlformats.org/officeDocument/2006/relationships/hyperlink" Target="mailto:xoliveras@colef.mx" TargetMode="External"/><Relationship Id="rId8" Type="http://schemas.openxmlformats.org/officeDocument/2006/relationships/hyperlink" Target="https://doi.org/10.1007/978-3-030-54902-2_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/kkl4fAGH2d8lX0TC0Ggblkbg==">AMUW2mWqfkJCA8G0DXcT0yNYC5DdhitY/gupy4mwb5c2AiCkB+HXtPFyAIM5oLGhLoK+6nAKfBPDV0Dc3g+B+aUttWIBMaLWPYf7Qp9wwGUnuU+2ve+zemQ=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2021-11-30T15:14:00Z</dcterms:created>
  <dc:creator>Xavier Oliveras González</dc:creator>
</cp:coreProperties>
</file>